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rFonts w:ascii="Helvetica" w:cs="Helvetica" w:hAnsi="Helvetica" w:eastAsia="Helvetica"/>
          <w:b w:val="0"/>
          <w:bCs w:val="0"/>
          <w:sz w:val="26"/>
          <w:szCs w:val="26"/>
          <w:rtl w:val="0"/>
        </w:rPr>
      </w:pPr>
      <w:r>
        <w:rPr>
          <w:rFonts w:ascii="Helvetica" w:hAnsi="Helvetica"/>
          <w:b w:val="1"/>
          <w:bCs w:val="1"/>
          <w:sz w:val="26"/>
          <w:szCs w:val="26"/>
          <w:rtl w:val="0"/>
          <w:lang w:val="en-US"/>
        </w:rPr>
        <w:t>LOCAL AUTHORITY ACCOUNTS: A SUMMARY OF YOUR RIGHTS</w:t>
      </w:r>
    </w:p>
    <w:p>
      <w:pPr>
        <w:pStyle w:val="Default"/>
        <w:bidi w:val="0"/>
        <w:spacing w:before="0" w:line="240" w:lineRule="auto"/>
        <w:ind w:left="0" w:right="0" w:firstLine="0"/>
        <w:jc w:val="center"/>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b w:val="0"/>
          <w:bCs w:val="0"/>
          <w:sz w:val="26"/>
          <w:szCs w:val="26"/>
          <w:rtl w:val="0"/>
        </w:rPr>
      </w:pPr>
      <w:r>
        <w:rPr>
          <w:rFonts w:ascii="Helvetica" w:hAnsi="Helvetica"/>
          <w:b w:val="1"/>
          <w:bCs w:val="1"/>
          <w:sz w:val="26"/>
          <w:szCs w:val="26"/>
          <w:rtl w:val="0"/>
          <w:lang w:val="en-US"/>
        </w:rPr>
        <w:t xml:space="preserve">Please note that this summary applies to all relevant smaller authorities, including local councils, internal drainage boards and </w:t>
      </w:r>
      <w:r>
        <w:rPr>
          <w:rFonts w:ascii="Helvetica" w:hAnsi="Helvetica" w:hint="default"/>
          <w:b w:val="1"/>
          <w:bCs w:val="1"/>
          <w:sz w:val="26"/>
          <w:szCs w:val="26"/>
          <w:rtl w:val="1"/>
        </w:rPr>
        <w:t>‘</w:t>
      </w:r>
      <w:r>
        <w:rPr>
          <w:rFonts w:ascii="Helvetica" w:hAnsi="Helvetica"/>
          <w:b w:val="1"/>
          <w:bCs w:val="1"/>
          <w:sz w:val="26"/>
          <w:szCs w:val="26"/>
          <w:rtl w:val="0"/>
          <w:lang w:val="en-US"/>
        </w:rPr>
        <w:t>other</w:t>
      </w:r>
      <w:r>
        <w:rPr>
          <w:rFonts w:ascii="Helvetica" w:hAnsi="Helvetica" w:hint="default"/>
          <w:b w:val="1"/>
          <w:bCs w:val="1"/>
          <w:sz w:val="26"/>
          <w:szCs w:val="26"/>
          <w:rtl w:val="1"/>
        </w:rPr>
        <w:t xml:space="preserve">’ </w:t>
      </w:r>
      <w:r>
        <w:rPr>
          <w:rFonts w:ascii="Helvetica" w:hAnsi="Helvetica"/>
          <w:b w:val="1"/>
          <w:bCs w:val="1"/>
          <w:sz w:val="26"/>
          <w:szCs w:val="26"/>
          <w:rtl w:val="0"/>
          <w:lang w:val="en-US"/>
        </w:rPr>
        <w:t>smaller authorities.</w:t>
      </w:r>
    </w:p>
    <w:p>
      <w:pPr>
        <w:pStyle w:val="Default"/>
        <w:bidi w:val="0"/>
        <w:spacing w:before="0" w:line="240" w:lineRule="auto"/>
        <w:ind w:left="0" w:right="0" w:firstLine="0"/>
        <w:jc w:val="left"/>
        <w:rPr>
          <w:rFonts w:ascii="Helvetica" w:cs="Helvetica" w:hAnsi="Helvetica" w:eastAsia="Helvetica"/>
          <w:sz w:val="26"/>
          <w:szCs w:val="26"/>
          <w:rtl w:val="0"/>
        </w:rPr>
      </w:pP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b w:val="0"/>
          <w:bCs w:val="0"/>
          <w:sz w:val="26"/>
          <w:szCs w:val="26"/>
          <w:rtl w:val="0"/>
        </w:rPr>
      </w:pPr>
      <w:r>
        <w:rPr>
          <w:rFonts w:ascii="Helvetica" w:hAnsi="Helvetica"/>
          <w:b w:val="1"/>
          <w:bCs w:val="1"/>
          <w:sz w:val="26"/>
          <w:szCs w:val="26"/>
          <w:rtl w:val="0"/>
          <w:lang w:val="en-US"/>
        </w:rPr>
        <w:t>The basic position</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sz w:val="26"/>
          <w:szCs w:val="26"/>
          <w:rtl w:val="0"/>
          <w:lang w:val="en-US"/>
        </w:rPr>
        <w:t xml:space="preserve">The </w:t>
      </w:r>
      <w:r>
        <w:rPr>
          <w:rStyle w:val="Hyperlink.0"/>
          <w:rFonts w:ascii="Helvetica" w:cs="Helvetica" w:hAnsi="Helvetica" w:eastAsia="Helvetica"/>
          <w:sz w:val="26"/>
          <w:szCs w:val="26"/>
          <w:rtl w:val="0"/>
        </w:rPr>
        <w:fldChar w:fldCharType="begin" w:fldLock="0"/>
      </w:r>
      <w:r>
        <w:rPr>
          <w:rStyle w:val="Hyperlink.0"/>
          <w:rFonts w:ascii="Helvetica" w:cs="Helvetica" w:hAnsi="Helvetica" w:eastAsia="Helvetica"/>
          <w:sz w:val="26"/>
          <w:szCs w:val="26"/>
          <w:rtl w:val="0"/>
        </w:rPr>
        <w:instrText xml:space="preserve"> HYPERLINK "http://www.legislation.gov.uk/ukpga/2014/2/contents"</w:instrText>
      </w:r>
      <w:r>
        <w:rPr>
          <w:rStyle w:val="Hyperlink.0"/>
          <w:rFonts w:ascii="Helvetica" w:cs="Helvetica" w:hAnsi="Helvetica" w:eastAsia="Helvetica"/>
          <w:sz w:val="26"/>
          <w:szCs w:val="26"/>
          <w:rtl w:val="0"/>
        </w:rPr>
        <w:fldChar w:fldCharType="separate" w:fldLock="0"/>
      </w:r>
      <w:r>
        <w:rPr>
          <w:rStyle w:val="Hyperlink.0"/>
          <w:rFonts w:ascii="Helvetica" w:hAnsi="Helvetica"/>
          <w:sz w:val="26"/>
          <w:szCs w:val="26"/>
          <w:rtl w:val="0"/>
          <w:lang w:val="en-US"/>
        </w:rPr>
        <w:t>Local Audit and Accountability Act 2014</w:t>
      </w:r>
      <w:r>
        <w:rPr>
          <w:rFonts w:ascii="Helvetica" w:cs="Helvetica" w:hAnsi="Helvetica" w:eastAsia="Helvetica"/>
          <w:sz w:val="26"/>
          <w:szCs w:val="26"/>
          <w:rtl w:val="0"/>
        </w:rPr>
        <w:fldChar w:fldCharType="end" w:fldLock="0"/>
      </w:r>
      <w:r>
        <w:rPr>
          <w:rFonts w:ascii="Helvetica" w:hAnsi="Helvetica"/>
          <w:sz w:val="26"/>
          <w:szCs w:val="26"/>
          <w:rtl w:val="0"/>
          <w:lang w:val="en-US"/>
        </w:rPr>
        <w:t xml:space="preserve"> (the Act) governs the work of auditors appointed to smaller authorities. This summary explains the provisions contained in Sections 26 and 27 of the Act. The Act and the </w:t>
      </w:r>
      <w:r>
        <w:rPr>
          <w:rStyle w:val="Hyperlink.0"/>
          <w:rFonts w:ascii="Helvetica" w:cs="Helvetica" w:hAnsi="Helvetica" w:eastAsia="Helvetica"/>
          <w:sz w:val="26"/>
          <w:szCs w:val="26"/>
          <w:rtl w:val="0"/>
        </w:rPr>
        <w:fldChar w:fldCharType="begin" w:fldLock="0"/>
      </w:r>
      <w:r>
        <w:rPr>
          <w:rStyle w:val="Hyperlink.0"/>
          <w:rFonts w:ascii="Helvetica" w:cs="Helvetica" w:hAnsi="Helvetica" w:eastAsia="Helvetica"/>
          <w:sz w:val="26"/>
          <w:szCs w:val="26"/>
          <w:rtl w:val="0"/>
        </w:rPr>
        <w:instrText xml:space="preserve"> HYPERLINK "http://www.legislation.gov.uk/uksi/2015/234/contents/made"</w:instrText>
      </w:r>
      <w:r>
        <w:rPr>
          <w:rStyle w:val="Hyperlink.0"/>
          <w:rFonts w:ascii="Helvetica" w:cs="Helvetica" w:hAnsi="Helvetica" w:eastAsia="Helvetica"/>
          <w:sz w:val="26"/>
          <w:szCs w:val="26"/>
          <w:rtl w:val="0"/>
        </w:rPr>
        <w:fldChar w:fldCharType="separate" w:fldLock="0"/>
      </w:r>
      <w:r>
        <w:rPr>
          <w:rStyle w:val="Hyperlink.0"/>
          <w:rFonts w:ascii="Helvetica" w:hAnsi="Helvetica"/>
          <w:sz w:val="26"/>
          <w:szCs w:val="26"/>
          <w:rtl w:val="0"/>
          <w:lang w:val="en-US"/>
        </w:rPr>
        <w:t>Accounts and Audit Regulations 2015</w:t>
      </w:r>
      <w:r>
        <w:rPr>
          <w:rFonts w:ascii="Helvetica" w:cs="Helvetica" w:hAnsi="Helvetica" w:eastAsia="Helvetica"/>
          <w:sz w:val="26"/>
          <w:szCs w:val="26"/>
          <w:rtl w:val="0"/>
        </w:rPr>
        <w:fldChar w:fldCharType="end" w:fldLock="0"/>
      </w:r>
      <w:r>
        <w:rPr>
          <w:rFonts w:ascii="Helvetica" w:hAnsi="Helvetica"/>
          <w:sz w:val="26"/>
          <w:szCs w:val="26"/>
          <w:rtl w:val="0"/>
          <w:lang w:val="en-US"/>
        </w:rPr>
        <w:t xml:space="preserve"> also cover the duties, responsibilities and rights of smaller authorities, other organisations and the public concerning the accounts being audited.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sz w:val="26"/>
          <w:szCs w:val="26"/>
          <w:rtl w:val="0"/>
          <w:lang w:val="en-US"/>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Style w:val="None"/>
          <w:rFonts w:ascii="Helvetica" w:cs="Helvetica" w:hAnsi="Helvetica" w:eastAsia="Helvetica"/>
          <w:b w:val="0"/>
          <w:bCs w:val="0"/>
          <w:sz w:val="26"/>
          <w:szCs w:val="26"/>
          <w:rtl w:val="0"/>
        </w:rPr>
      </w:pPr>
      <w:r>
        <w:rPr>
          <w:rFonts w:ascii="Helvetica" w:hAnsi="Helvetica"/>
          <w:b w:val="1"/>
          <w:bCs w:val="1"/>
          <w:sz w:val="26"/>
          <w:szCs w:val="26"/>
          <w:rtl w:val="0"/>
          <w:lang w:val="en-US"/>
        </w:rPr>
        <w:t>The right to inspect the accounting records</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sz w:val="26"/>
          <w:szCs w:val="26"/>
          <w:rtl w:val="0"/>
          <w:lang w:val="en-US"/>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w:t>
      </w:r>
    </w:p>
    <w:p>
      <w:pPr>
        <w:pStyle w:val="Default"/>
        <w:bidi w:val="0"/>
        <w:spacing w:before="0" w:line="240" w:lineRule="auto"/>
        <w:ind w:left="0" w:right="0" w:firstLine="0"/>
        <w:jc w:val="left"/>
        <w:rPr>
          <w:rFonts w:ascii="Helvetica" w:cs="Helvetica" w:hAnsi="Helvetica" w:eastAsia="Helvetica"/>
          <w:sz w:val="26"/>
          <w:szCs w:val="26"/>
          <w:rtl w:val="0"/>
        </w:rPr>
      </w:pP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sz w:val="26"/>
          <w:szCs w:val="26"/>
          <w:rtl w:val="0"/>
          <w:lang w:val="en-US"/>
        </w:rPr>
        <w:t xml:space="preserve">You can copy all, or part, of these records or documents. Your inspection must be about the accounts, or relate to an item in the accounts. You cannot, for example, inspect or copy documents unrelated to the accounts, or that include personal information (Section 26 (6) </w:t>
      </w:r>
      <w:r>
        <w:rPr>
          <w:rFonts w:ascii="Helvetica" w:hAnsi="Helvetica" w:hint="default"/>
          <w:sz w:val="26"/>
          <w:szCs w:val="26"/>
          <w:rtl w:val="0"/>
        </w:rPr>
        <w:t xml:space="preserve">– </w:t>
      </w:r>
      <w:r>
        <w:rPr>
          <w:rFonts w:ascii="Helvetica" w:hAnsi="Helvetica"/>
          <w:sz w:val="26"/>
          <w:szCs w:val="26"/>
          <w:rtl w:val="0"/>
          <w:lang w:val="en-US"/>
        </w:rPr>
        <w:t xml:space="preserve">(10)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sz w:val="26"/>
          <w:szCs w:val="26"/>
          <w:rtl w:val="0"/>
          <w:lang w:val="en-US"/>
        </w:rPr>
        <w:t xml:space="preserve">When smaller authorities have finished preparing accounts for the financial year and approved them, they must publish them (including on a website). There must be a 30 working day period, called the </w:t>
      </w:r>
      <w:r>
        <w:rPr>
          <w:rFonts w:ascii="Helvetica" w:hAnsi="Helvetica" w:hint="default"/>
          <w:sz w:val="26"/>
          <w:szCs w:val="26"/>
          <w:rtl w:val="1"/>
        </w:rPr>
        <w:t>‘</w:t>
      </w:r>
      <w:r>
        <w:rPr>
          <w:rFonts w:ascii="Helvetica" w:hAnsi="Helvetica"/>
          <w:sz w:val="26"/>
          <w:szCs w:val="26"/>
          <w:rtl w:val="0"/>
          <w:lang w:val="en-US"/>
        </w:rPr>
        <w:t>period for the exercise of public rights</w:t>
      </w:r>
      <w:r>
        <w:rPr>
          <w:rFonts w:ascii="Helvetica" w:hAnsi="Helvetica" w:hint="default"/>
          <w:sz w:val="26"/>
          <w:szCs w:val="26"/>
          <w:rtl w:val="1"/>
        </w:rPr>
        <w:t>’</w:t>
      </w:r>
      <w:r>
        <w:rPr>
          <w:rFonts w:ascii="Helvetica" w:hAnsi="Helvetica"/>
          <w:sz w:val="26"/>
          <w:szCs w:val="26"/>
          <w:rtl w:val="0"/>
          <w:lang w:val="en-US"/>
        </w:rPr>
        <w:t>,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w:t>
      </w:r>
      <w:r>
        <w:rPr>
          <w:rFonts w:ascii="Helvetica" w:hAnsi="Helvetica" w:hint="default"/>
          <w:sz w:val="26"/>
          <w:szCs w:val="26"/>
          <w:rtl w:val="1"/>
        </w:rPr>
        <w:t xml:space="preserve">’ </w:t>
      </w:r>
      <w:r>
        <w:rPr>
          <w:rFonts w:ascii="Helvetica" w:hAnsi="Helvetica"/>
          <w:sz w:val="26"/>
          <w:szCs w:val="26"/>
          <w:rtl w:val="0"/>
          <w:lang w:val="en-US"/>
        </w:rPr>
        <w:t xml:space="preserve">accounting records are available to inspect. This will be 1-12 July 2024 for 2023/24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Style w:val="None"/>
          <w:rFonts w:ascii="Helvetica" w:cs="Helvetica" w:hAnsi="Helvetica" w:eastAsia="Helvetica"/>
          <w:b w:val="0"/>
          <w:bCs w:val="0"/>
          <w:sz w:val="26"/>
          <w:szCs w:val="26"/>
          <w:rtl w:val="0"/>
        </w:rPr>
      </w:pPr>
      <w:r>
        <w:rPr>
          <w:rFonts w:ascii="Helvetica" w:hAnsi="Helvetica"/>
          <w:b w:val="1"/>
          <w:bCs w:val="1"/>
          <w:sz w:val="26"/>
          <w:szCs w:val="26"/>
          <w:rtl w:val="0"/>
          <w:lang w:val="en-US"/>
        </w:rPr>
        <w:t>The right to ask the auditor questions about the accounting records</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Style w:val="None"/>
          <w:rFonts w:ascii="Helvetica" w:hAnsi="Helvetica"/>
          <w:b w:val="1"/>
          <w:bCs w:val="1"/>
          <w:sz w:val="26"/>
          <w:szCs w:val="26"/>
          <w:rtl w:val="0"/>
          <w:lang w:val="en-US"/>
        </w:rPr>
        <w:t>You should first ask your smaller authority</w:t>
      </w:r>
      <w:r>
        <w:rPr>
          <w:rFonts w:ascii="Helvetica" w:hAnsi="Helvetica"/>
          <w:sz w:val="26"/>
          <w:szCs w:val="26"/>
          <w:rtl w:val="0"/>
          <w:lang w:val="en-US"/>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w:t>
      </w:r>
      <w:r>
        <w:rPr>
          <w:rFonts w:ascii="Helvetica" w:hAnsi="Helvetica" w:hint="default"/>
          <w:sz w:val="26"/>
          <w:szCs w:val="26"/>
          <w:rtl w:val="1"/>
        </w:rPr>
        <w:t>’</w:t>
      </w:r>
      <w:r>
        <w:rPr>
          <w:rFonts w:ascii="Helvetica" w:hAnsi="Helvetica"/>
          <w:sz w:val="26"/>
          <w:szCs w:val="26"/>
          <w:rtl w:val="0"/>
          <w:lang w:val="en-US"/>
        </w:rPr>
        <w:t xml:space="preserve">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sz w:val="26"/>
          <w:szCs w:val="26"/>
          <w:rtl w:val="0"/>
          <w:lang w:val="en-US"/>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sz w:val="26"/>
          <w:szCs w:val="26"/>
          <w:rtl w:val="0"/>
          <w:lang w:val="en-US"/>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sz w:val="26"/>
          <w:szCs w:val="26"/>
          <w:rtl w:val="0"/>
          <w:lang w:val="en-US"/>
        </w:rPr>
        <w:t xml:space="preserve">You can ask the external auditor questions about an item in the accounting records for the financial year being audited. However, your right to ask the external auditor questions is limited. The external auditor can only answer </w:t>
      </w:r>
      <w:r>
        <w:rPr>
          <w:rFonts w:ascii="Helvetica" w:hAnsi="Helvetica" w:hint="default"/>
          <w:sz w:val="26"/>
          <w:szCs w:val="26"/>
          <w:rtl w:val="1"/>
        </w:rPr>
        <w:t>‘</w:t>
      </w:r>
      <w:r>
        <w:rPr>
          <w:rFonts w:ascii="Helvetica" w:hAnsi="Helvetica"/>
          <w:sz w:val="26"/>
          <w:szCs w:val="26"/>
          <w:rtl w:val="0"/>
          <w:lang w:val="en-US"/>
        </w:rPr>
        <w:t>what</w:t>
      </w:r>
      <w:r>
        <w:rPr>
          <w:rFonts w:ascii="Helvetica" w:hAnsi="Helvetica" w:hint="default"/>
          <w:sz w:val="26"/>
          <w:szCs w:val="26"/>
          <w:rtl w:val="1"/>
        </w:rPr>
        <w:t xml:space="preserve">’ </w:t>
      </w:r>
      <w:r>
        <w:rPr>
          <w:rFonts w:ascii="Helvetica" w:hAnsi="Helvetica"/>
          <w:sz w:val="26"/>
          <w:szCs w:val="26"/>
          <w:rtl w:val="0"/>
          <w:lang w:val="en-US"/>
        </w:rPr>
        <w:t xml:space="preserve">questions, not </w:t>
      </w:r>
      <w:r>
        <w:rPr>
          <w:rFonts w:ascii="Helvetica" w:hAnsi="Helvetica" w:hint="default"/>
          <w:sz w:val="26"/>
          <w:szCs w:val="26"/>
          <w:rtl w:val="1"/>
        </w:rPr>
        <w:t>‘</w:t>
      </w:r>
      <w:r>
        <w:rPr>
          <w:rFonts w:ascii="Helvetica" w:hAnsi="Helvetica"/>
          <w:sz w:val="26"/>
          <w:szCs w:val="26"/>
          <w:rtl w:val="0"/>
          <w:lang w:val="en-US"/>
        </w:rPr>
        <w:t>why</w:t>
      </w:r>
      <w:r>
        <w:rPr>
          <w:rFonts w:ascii="Helvetica" w:hAnsi="Helvetica" w:hint="default"/>
          <w:sz w:val="26"/>
          <w:szCs w:val="26"/>
          <w:rtl w:val="1"/>
        </w:rPr>
        <w:t xml:space="preserve">’ </w:t>
      </w:r>
      <w:r>
        <w:rPr>
          <w:rFonts w:ascii="Helvetica" w:hAnsi="Helvetica"/>
          <w:sz w:val="26"/>
          <w:szCs w:val="26"/>
          <w:rtl w:val="0"/>
          <w:lang w:val="en-US"/>
        </w:rPr>
        <w:t xml:space="preserve">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Style w:val="None"/>
          <w:rFonts w:ascii="Helvetica" w:cs="Helvetica" w:hAnsi="Helvetica" w:eastAsia="Helvetica"/>
          <w:b w:val="0"/>
          <w:bCs w:val="0"/>
          <w:sz w:val="26"/>
          <w:szCs w:val="26"/>
          <w:rtl w:val="0"/>
        </w:rPr>
      </w:pPr>
      <w:r>
        <w:rPr>
          <w:rFonts w:ascii="Helvetica" w:hAnsi="Helvetica"/>
          <w:b w:val="1"/>
          <w:bCs w:val="1"/>
          <w:sz w:val="26"/>
          <w:szCs w:val="26"/>
          <w:rtl w:val="0"/>
          <w:lang w:val="en-US"/>
        </w:rPr>
        <w:t>The right to make objections at audit</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sz w:val="26"/>
          <w:szCs w:val="26"/>
          <w:rtl w:val="0"/>
          <w:lang w:val="en-US"/>
        </w:rPr>
        <w:t>You have inspected the accounting records and asked your questions of the smaller authority. Now you may wish to object to the accounts on the basis that an item in them is in your view unlawful or there are matters of wider concern arising from the smaller authority</w:t>
      </w:r>
      <w:r>
        <w:rPr>
          <w:rFonts w:ascii="Helvetica" w:hAnsi="Helvetica" w:hint="default"/>
          <w:sz w:val="26"/>
          <w:szCs w:val="26"/>
          <w:rtl w:val="1"/>
        </w:rPr>
        <w:t>’</w:t>
      </w:r>
      <w:r>
        <w:rPr>
          <w:rFonts w:ascii="Helvetica" w:hAnsi="Helvetica"/>
          <w:sz w:val="26"/>
          <w:szCs w:val="26"/>
          <w:rtl w:val="0"/>
          <w:lang w:val="en-US"/>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numPr>
          <w:ilvl w:val="0"/>
          <w:numId w:val="2"/>
        </w:numPr>
        <w:bidi w:val="0"/>
        <w:spacing w:before="0" w:after="130" w:line="240" w:lineRule="auto"/>
        <w:ind w:right="0"/>
        <w:jc w:val="left"/>
        <w:rPr>
          <w:rFonts w:ascii="Helvetica" w:hAnsi="Helvetica"/>
          <w:sz w:val="26"/>
          <w:szCs w:val="26"/>
          <w:rtl w:val="0"/>
          <w:lang w:val="en-US"/>
        </w:rPr>
      </w:pPr>
      <w:r>
        <w:rPr>
          <w:rFonts w:ascii="Helvetica" w:hAnsi="Helvetica"/>
          <w:sz w:val="26"/>
          <w:szCs w:val="26"/>
          <w:rtl w:val="0"/>
          <w:lang w:val="en-US"/>
        </w:rPr>
        <w:t>confirmation that you are an elector in the smaller authority</w:t>
      </w:r>
      <w:r>
        <w:rPr>
          <w:rFonts w:ascii="Helvetica" w:hAnsi="Helvetica" w:hint="default"/>
          <w:sz w:val="26"/>
          <w:szCs w:val="26"/>
          <w:rtl w:val="1"/>
        </w:rPr>
        <w:t>’</w:t>
      </w:r>
      <w:r>
        <w:rPr>
          <w:rFonts w:ascii="Helvetica" w:hAnsi="Helvetica"/>
          <w:sz w:val="26"/>
          <w:szCs w:val="26"/>
          <w:rtl w:val="0"/>
          <w:lang w:val="en-US"/>
        </w:rPr>
        <w:t>s area;</w:t>
      </w:r>
    </w:p>
    <w:p>
      <w:pPr>
        <w:pStyle w:val="Default"/>
        <w:numPr>
          <w:ilvl w:val="0"/>
          <w:numId w:val="2"/>
        </w:numPr>
        <w:bidi w:val="0"/>
        <w:spacing w:before="0" w:after="130" w:line="240" w:lineRule="auto"/>
        <w:ind w:right="0"/>
        <w:jc w:val="left"/>
        <w:rPr>
          <w:rFonts w:ascii="Helvetica" w:hAnsi="Helvetica"/>
          <w:sz w:val="26"/>
          <w:szCs w:val="26"/>
          <w:rtl w:val="0"/>
          <w:lang w:val="en-US"/>
        </w:rPr>
      </w:pPr>
      <w:r>
        <w:rPr>
          <w:rFonts w:ascii="Helvetica" w:hAnsi="Helvetica"/>
          <w:sz w:val="26"/>
          <w:szCs w:val="26"/>
          <w:rtl w:val="0"/>
          <w:lang w:val="en-US"/>
        </w:rPr>
        <w:t>why you are objecting to the accounts and the facts on which you rely;</w:t>
      </w:r>
    </w:p>
    <w:p>
      <w:pPr>
        <w:pStyle w:val="Default"/>
        <w:numPr>
          <w:ilvl w:val="0"/>
          <w:numId w:val="2"/>
        </w:numPr>
        <w:bidi w:val="0"/>
        <w:spacing w:before="0" w:after="130" w:line="240" w:lineRule="auto"/>
        <w:ind w:right="0"/>
        <w:jc w:val="left"/>
        <w:rPr>
          <w:rFonts w:ascii="Helvetica" w:hAnsi="Helvetica"/>
          <w:sz w:val="26"/>
          <w:szCs w:val="26"/>
          <w:rtl w:val="0"/>
          <w:lang w:val="en-US"/>
        </w:rPr>
      </w:pPr>
      <w:r>
        <w:rPr>
          <w:rFonts w:ascii="Helvetica" w:hAnsi="Helvetica"/>
          <w:sz w:val="26"/>
          <w:szCs w:val="26"/>
          <w:rtl w:val="0"/>
          <w:lang w:val="en-US"/>
        </w:rPr>
        <w:t>details of any item in the accounts that you think is unlawful; and</w:t>
      </w:r>
    </w:p>
    <w:p>
      <w:pPr>
        <w:pStyle w:val="Default"/>
        <w:numPr>
          <w:ilvl w:val="0"/>
          <w:numId w:val="2"/>
        </w:numPr>
        <w:bidi w:val="0"/>
        <w:spacing w:before="0" w:after="130" w:line="240" w:lineRule="auto"/>
        <w:ind w:right="0"/>
        <w:jc w:val="left"/>
        <w:rPr>
          <w:rFonts w:ascii="Helvetica" w:hAnsi="Helvetica"/>
          <w:sz w:val="26"/>
          <w:szCs w:val="26"/>
          <w:rtl w:val="0"/>
          <w:lang w:val="en-US"/>
        </w:rPr>
      </w:pPr>
      <w:r>
        <w:rPr>
          <w:rFonts w:ascii="Helvetica" w:hAnsi="Helvetica"/>
          <w:sz w:val="26"/>
          <w:szCs w:val="26"/>
          <w:rtl w:val="0"/>
          <w:lang w:val="en-US"/>
        </w:rPr>
        <w:t>details of any matter about which you think the external auditor should make a public interest report.</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sz w:val="26"/>
          <w:szCs w:val="26"/>
          <w:rtl w:val="0"/>
          <w:lang w:val="en-US"/>
        </w:rPr>
        <w:t xml:space="preserve">Other than it must be in writing, there is no set format for objecting. You can only ask the external auditor to act within the powers available under the </w:t>
      </w:r>
      <w:r>
        <w:rPr>
          <w:rStyle w:val="Hyperlink.0"/>
          <w:rFonts w:ascii="Helvetica" w:cs="Helvetica" w:hAnsi="Helvetica" w:eastAsia="Helvetica"/>
          <w:sz w:val="26"/>
          <w:szCs w:val="26"/>
          <w:rtl w:val="0"/>
        </w:rPr>
        <w:fldChar w:fldCharType="begin" w:fldLock="0"/>
      </w:r>
      <w:r>
        <w:rPr>
          <w:rStyle w:val="Hyperlink.0"/>
          <w:rFonts w:ascii="Helvetica" w:cs="Helvetica" w:hAnsi="Helvetica" w:eastAsia="Helvetica"/>
          <w:sz w:val="26"/>
          <w:szCs w:val="26"/>
          <w:rtl w:val="0"/>
        </w:rPr>
        <w:instrText xml:space="preserve"> HYPERLINK "http://www.legislation.gov.uk/ukpga/2014/2/contents"</w:instrText>
      </w:r>
      <w:r>
        <w:rPr>
          <w:rStyle w:val="Hyperlink.0"/>
          <w:rFonts w:ascii="Helvetica" w:cs="Helvetica" w:hAnsi="Helvetica" w:eastAsia="Helvetica"/>
          <w:sz w:val="26"/>
          <w:szCs w:val="26"/>
          <w:rtl w:val="0"/>
        </w:rPr>
        <w:fldChar w:fldCharType="separate" w:fldLock="0"/>
      </w:r>
      <w:r>
        <w:rPr>
          <w:rStyle w:val="Hyperlink.0"/>
          <w:rFonts w:ascii="Helvetica" w:hAnsi="Helvetica"/>
          <w:sz w:val="26"/>
          <w:szCs w:val="26"/>
          <w:rtl w:val="0"/>
          <w:lang w:val="en-US"/>
        </w:rPr>
        <w:t>Local Audit and Accountability Act 2014</w:t>
      </w:r>
      <w:r>
        <w:rPr>
          <w:rFonts w:ascii="Helvetica" w:cs="Helvetica" w:hAnsi="Helvetica" w:eastAsia="Helvetica"/>
          <w:sz w:val="26"/>
          <w:szCs w:val="26"/>
          <w:rtl w:val="0"/>
        </w:rPr>
        <w:fldChar w:fldCharType="end" w:fldLock="0"/>
      </w:r>
      <w:r>
        <w:rPr>
          <w:rFonts w:ascii="Helvetica" w:hAnsi="Helvetica"/>
          <w:sz w:val="26"/>
          <w:szCs w:val="26"/>
          <w:rtl w:val="0"/>
        </w:rPr>
        <w:t xml:space="preserve">.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Style w:val="None"/>
          <w:rFonts w:ascii="Helvetica" w:cs="Helvetica" w:hAnsi="Helvetica" w:eastAsia="Helvetica"/>
          <w:b w:val="0"/>
          <w:bCs w:val="0"/>
          <w:sz w:val="26"/>
          <w:szCs w:val="26"/>
          <w:rtl w:val="0"/>
        </w:rPr>
      </w:pPr>
      <w:r>
        <w:rPr>
          <w:rFonts w:ascii="Helvetica" w:hAnsi="Helvetica"/>
          <w:b w:val="1"/>
          <w:bCs w:val="1"/>
          <w:sz w:val="26"/>
          <w:szCs w:val="26"/>
          <w:rtl w:val="0"/>
          <w:lang w:val="en-US"/>
        </w:rPr>
        <w:t>A final word</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sz w:val="26"/>
          <w:szCs w:val="26"/>
          <w:rtl w:val="0"/>
          <w:lang w:val="en-US"/>
        </w:rPr>
        <w:t xml:space="preserve">You may not use this </w:t>
      </w:r>
      <w:r>
        <w:rPr>
          <w:rFonts w:ascii="Helvetica" w:hAnsi="Helvetica" w:hint="default"/>
          <w:sz w:val="26"/>
          <w:szCs w:val="26"/>
          <w:rtl w:val="1"/>
        </w:rPr>
        <w:t>‘</w:t>
      </w:r>
      <w:r>
        <w:rPr>
          <w:rFonts w:ascii="Helvetica" w:hAnsi="Helvetica"/>
          <w:sz w:val="26"/>
          <w:szCs w:val="26"/>
          <w:rtl w:val="0"/>
          <w:lang w:val="en-US"/>
        </w:rPr>
        <w:t>right to object</w:t>
      </w:r>
      <w:r>
        <w:rPr>
          <w:rFonts w:ascii="Helvetica" w:hAnsi="Helvetica" w:hint="default"/>
          <w:sz w:val="26"/>
          <w:szCs w:val="26"/>
          <w:rtl w:val="1"/>
        </w:rPr>
        <w:t xml:space="preserve">’ </w:t>
      </w:r>
      <w:r>
        <w:rPr>
          <w:rFonts w:ascii="Helvetica" w:hAnsi="Helvetica"/>
          <w:sz w:val="26"/>
          <w:szCs w:val="26"/>
          <w:rtl w:val="0"/>
          <w:lang w:val="en-US"/>
        </w:rPr>
        <w:t>to make a personal complaint or claim against your smaller authority.You should take such complaints to your local Citizens</w:t>
      </w:r>
      <w:r>
        <w:rPr>
          <w:rFonts w:ascii="Helvetica" w:hAnsi="Helvetica" w:hint="default"/>
          <w:sz w:val="26"/>
          <w:szCs w:val="26"/>
          <w:rtl w:val="1"/>
        </w:rPr>
        <w:t xml:space="preserve">’ </w:t>
      </w:r>
      <w:r>
        <w:rPr>
          <w:rFonts w:ascii="Helvetica" w:hAnsi="Helvetica"/>
          <w:sz w:val="26"/>
          <w:szCs w:val="26"/>
          <w:rtl w:val="0"/>
          <w:lang w:val="en-US"/>
        </w:rPr>
        <w:t>Advice Bureau, local Law Centre or to your solicitor. Smaller authorities, and so local taxpayers, meet the costs of dealing with questions and objections.In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w:t>
      </w:r>
      <w:r>
        <w:rPr>
          <w:rFonts w:ascii="Helvetica" w:hAnsi="Helvetica" w:hint="default"/>
          <w:sz w:val="26"/>
          <w:szCs w:val="26"/>
          <w:rtl w:val="1"/>
        </w:rPr>
        <w:t>’</w:t>
      </w:r>
      <w:r>
        <w:rPr>
          <w:rFonts w:ascii="Helvetica" w:hAnsi="Helvetica"/>
          <w:sz w:val="26"/>
          <w:szCs w:val="26"/>
          <w:rtl w:val="0"/>
          <w:lang w:val="en-US"/>
        </w:rPr>
        <w:t>s decision not to apply to the courts for a declaration that an item of account is unlawful, you will have to pay for the action yourself.</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p>
      <w:pPr>
        <w:pStyle w:val="Default"/>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w:t>
      </w:r>
    </w:p>
    <w:tbl>
      <w:tblPr>
        <w:tblW w:w="963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545"/>
        <w:gridCol w:w="5093"/>
      </w:tblGrid>
      <w:tr>
        <w:tblPrEx>
          <w:shd w:val="clear" w:color="auto" w:fill="auto"/>
        </w:tblPrEx>
        <w:trPr>
          <w:trHeight w:val="2740" w:hRule="atLeast"/>
        </w:trPr>
        <w:tc>
          <w:tcPr>
            <w:tcW w:type="dxa" w:w="45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4"/>
              <w:left w:type="dxa" w:w="260"/>
              <w:bottom w:type="dxa" w:w="104"/>
              <w:right w:type="dxa" w:w="260"/>
            </w:tcMar>
            <w:vAlign w:val="center"/>
          </w:tcPr>
          <w:p>
            <w:pPr>
              <w:pStyle w:val="Table Style 2"/>
              <w:bidi w:val="0"/>
              <w:ind w:left="0" w:right="0" w:firstLine="0"/>
              <w:jc w:val="left"/>
              <w:rPr>
                <w:rtl w:val="0"/>
              </w:rPr>
            </w:pPr>
            <w:r>
              <w:rPr>
                <w:sz w:val="26"/>
                <w:szCs w:val="26"/>
                <w:rtl w:val="0"/>
                <w:lang w:val="en-US"/>
              </w:rPr>
              <w:t xml:space="preserve">For more detailed guidance on public rights and the special powers of auditors, copies of the publication </w:t>
            </w:r>
            <w:r>
              <w:rPr>
                <w:rStyle w:val="Hyperlink.0"/>
                <w:sz w:val="26"/>
                <w:szCs w:val="26"/>
                <w:rtl w:val="0"/>
              </w:rPr>
              <w:fldChar w:fldCharType="begin" w:fldLock="0"/>
            </w:r>
            <w:r>
              <w:rPr>
                <w:rStyle w:val="Hyperlink.0"/>
                <w:sz w:val="26"/>
                <w:szCs w:val="26"/>
                <w:rtl w:val="0"/>
              </w:rPr>
              <w:instrText xml:space="preserve"> HYPERLINK "https://www.pkf-l.com/wp-content/uploads/2020/09/Council-accounts-a-guide-to-your-rights.pdf"</w:instrText>
            </w:r>
            <w:r>
              <w:rPr>
                <w:rStyle w:val="Hyperlink.0"/>
                <w:sz w:val="26"/>
                <w:szCs w:val="26"/>
                <w:rtl w:val="0"/>
              </w:rPr>
              <w:fldChar w:fldCharType="separate" w:fldLock="0"/>
            </w:r>
            <w:r>
              <w:rPr>
                <w:rStyle w:val="Hyperlink.0"/>
                <w:sz w:val="26"/>
                <w:szCs w:val="26"/>
                <w:rtl w:val="0"/>
                <w:lang w:val="en-US"/>
              </w:rPr>
              <w:t>Local authority accounts: A guide to your rights</w:t>
            </w:r>
            <w:r>
              <w:rPr>
                <w:sz w:val="26"/>
                <w:szCs w:val="26"/>
                <w:rtl w:val="0"/>
              </w:rPr>
              <w:fldChar w:fldCharType="end" w:fldLock="0"/>
            </w:r>
            <w:r>
              <w:rPr>
                <w:sz w:val="26"/>
                <w:szCs w:val="26"/>
                <w:rtl w:val="0"/>
                <w:lang w:val="en-US"/>
              </w:rPr>
              <w:t xml:space="preserve"> are available from the NAO website.</w:t>
            </w:r>
          </w:p>
        </w:tc>
        <w:tc>
          <w:tcPr>
            <w:tcW w:type="dxa" w:w="50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4"/>
              <w:left w:type="dxa" w:w="260"/>
              <w:bottom w:type="dxa" w:w="104"/>
              <w:right w:type="dxa" w:w="260"/>
            </w:tcMar>
            <w:vAlign w:val="top"/>
          </w:tcPr>
          <w:p>
            <w:pPr>
              <w:pStyle w:val="Table Style 2"/>
              <w:bidi w:val="0"/>
              <w:ind w:left="0" w:right="0" w:firstLine="0"/>
              <w:jc w:val="left"/>
              <w:rPr>
                <w:rtl w:val="0"/>
              </w:rPr>
            </w:pPr>
            <w:r>
              <w:rPr>
                <w:sz w:val="26"/>
                <w:szCs w:val="26"/>
                <w:rtl w:val="0"/>
                <w:lang w:val="en-US"/>
              </w:rPr>
              <w:t>If you wish to contact your authority</w:t>
            </w:r>
            <w:r>
              <w:rPr>
                <w:sz w:val="26"/>
                <w:szCs w:val="26"/>
                <w:rtl w:val="1"/>
              </w:rPr>
              <w:t>’</w:t>
            </w:r>
            <w:r>
              <w:rPr>
                <w:sz w:val="26"/>
                <w:szCs w:val="26"/>
                <w:rtl w:val="0"/>
                <w:lang w:val="en-US"/>
              </w:rPr>
              <w:t xml:space="preserve">s appointed external auditor please write to the address in paragraph 4 of the </w:t>
            </w:r>
            <w:r>
              <w:rPr>
                <w:rStyle w:val="None"/>
                <w:i w:val="1"/>
                <w:iCs w:val="1"/>
                <w:sz w:val="26"/>
                <w:szCs w:val="26"/>
                <w:rtl w:val="0"/>
                <w:lang w:val="en-US"/>
              </w:rPr>
              <w:t>Notice of Public Rights and Publication of Unaudited Annual Governance &amp; Accountability Return</w:t>
            </w:r>
            <w:r>
              <w:rPr>
                <w:sz w:val="26"/>
                <w:szCs w:val="26"/>
                <w:rtl w:val="0"/>
              </w:rPr>
              <w:t>.</w:t>
            </w:r>
          </w:p>
        </w:tc>
      </w:tr>
    </w:tbl>
    <w:p>
      <w:pPr>
        <w:pStyle w:val="Default"/>
        <w:bidi w:val="0"/>
        <w:spacing w:before="0" w:line="240" w:lineRule="auto"/>
        <w:ind w:left="0" w:right="0" w:firstLine="0"/>
        <w:jc w:val="left"/>
        <w:rPr>
          <w:rtl w:val="0"/>
        </w:rPr>
      </w:pPr>
      <w:r>
        <w:rPr>
          <w:sz w:val="26"/>
          <w:szCs w:val="26"/>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344c97"/>
      <w:u w:val="single" w:color="344c97"/>
      <w14:textFill>
        <w14:solidFill>
          <w14:srgbClr w14:val="354C97"/>
        </w14:solidFill>
      </w14:textFill>
    </w:rPr>
  </w:style>
  <w:style w:type="numbering" w:styleId="Bullet">
    <w:name w:val="Bullet"/>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